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344F" w14:textId="77777777" w:rsidR="004D3D1F" w:rsidRDefault="004D3D1F" w:rsidP="004D3D1F">
      <w:r>
        <w:rPr>
          <w:noProof/>
        </w:rPr>
        <w:drawing>
          <wp:inline distT="0" distB="0" distL="0" distR="0" wp14:anchorId="0C60B914" wp14:editId="37F1D03C">
            <wp:extent cx="5618522" cy="31604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522" cy="31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A0F9" w14:textId="77777777" w:rsidR="004D3D1F" w:rsidRDefault="004D3D1F" w:rsidP="004D3D1F"/>
    <w:p w14:paraId="1CD47404" w14:textId="2B286D7E" w:rsidR="00AE1AFB" w:rsidRPr="00C86D3F" w:rsidRDefault="004F06A9" w:rsidP="004F06A9">
      <w:pPr>
        <w:rPr>
          <w:lang w:val="en"/>
        </w:rPr>
      </w:pPr>
      <w:r w:rsidRPr="004F06A9">
        <w:rPr>
          <w:lang w:val="en"/>
        </w:rPr>
        <w:t>Florida agriculture is among one of the top industries in the state.</w:t>
      </w:r>
      <w:r>
        <w:rPr>
          <w:lang w:val="en"/>
        </w:rPr>
        <w:t xml:space="preserve"> </w:t>
      </w:r>
      <w:r w:rsidRPr="004F06A9">
        <w:rPr>
          <w:lang w:val="en"/>
        </w:rPr>
        <w:t>As a key element of our state’s economy, it is crucial to continue to support our Florida farmers, ranchers and growers.</w:t>
      </w:r>
    </w:p>
    <w:sectPr w:rsidR="00AE1AFB" w:rsidRPr="00C8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1F"/>
    <w:rsid w:val="000F60F0"/>
    <w:rsid w:val="001C2446"/>
    <w:rsid w:val="002714EA"/>
    <w:rsid w:val="004D3D1F"/>
    <w:rsid w:val="004F06A9"/>
    <w:rsid w:val="005D19EF"/>
    <w:rsid w:val="00C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44513"/>
  <w15:chartTrackingRefBased/>
  <w15:docId w15:val="{259BEA94-896F-9744-BB56-D67DF1E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Rowe</dc:creator>
  <cp:keywords/>
  <dc:description/>
  <cp:lastModifiedBy>Julie Fazekas</cp:lastModifiedBy>
  <cp:revision>2</cp:revision>
  <dcterms:created xsi:type="dcterms:W3CDTF">2021-06-08T17:50:00Z</dcterms:created>
  <dcterms:modified xsi:type="dcterms:W3CDTF">2021-06-08T17:50:00Z</dcterms:modified>
</cp:coreProperties>
</file>